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77C5" w:rsidRDefault="002477C5">
      <w:pPr>
        <w:ind w:left="4468"/>
        <w:rPr>
          <w:sz w:val="20"/>
        </w:rPr>
      </w:pPr>
    </w:p>
    <w:p w:rsidR="002477C5" w:rsidRDefault="002477C5">
      <w:pPr>
        <w:pStyle w:val="Textoindependiente"/>
        <w:rPr>
          <w:i w:val="0"/>
          <w:sz w:val="48"/>
        </w:rPr>
      </w:pPr>
    </w:p>
    <w:p w:rsidR="002477C5" w:rsidRDefault="002477C5">
      <w:pPr>
        <w:pStyle w:val="Textoindependiente"/>
        <w:rPr>
          <w:i w:val="0"/>
          <w:sz w:val="48"/>
        </w:rPr>
      </w:pPr>
    </w:p>
    <w:p w:rsidR="002477C5" w:rsidRDefault="002477C5">
      <w:pPr>
        <w:pStyle w:val="Textoindependiente"/>
        <w:rPr>
          <w:i w:val="0"/>
          <w:sz w:val="48"/>
        </w:rPr>
      </w:pPr>
    </w:p>
    <w:p w:rsidR="002477C5" w:rsidRDefault="002477C5">
      <w:pPr>
        <w:pStyle w:val="Textoindependiente"/>
        <w:rPr>
          <w:i w:val="0"/>
          <w:sz w:val="48"/>
        </w:rPr>
      </w:pPr>
    </w:p>
    <w:p w:rsidR="002477C5" w:rsidRDefault="002477C5">
      <w:pPr>
        <w:pStyle w:val="Textoindependiente"/>
        <w:spacing w:before="269"/>
        <w:rPr>
          <w:i w:val="0"/>
          <w:sz w:val="48"/>
        </w:rPr>
      </w:pPr>
    </w:p>
    <w:p w:rsidR="002477C5" w:rsidRPr="00492493" w:rsidRDefault="00A53C95" w:rsidP="00492493">
      <w:pPr>
        <w:pStyle w:val="Ttulo1"/>
        <w:tabs>
          <w:tab w:val="left" w:pos="4146"/>
          <w:tab w:val="left" w:pos="7837"/>
        </w:tabs>
        <w:spacing w:line="360" w:lineRule="auto"/>
        <w:sectPr w:rsidR="002477C5" w:rsidRPr="00492493" w:rsidSect="00492493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type w:val="continuous"/>
          <w:pgSz w:w="11910" w:h="16840"/>
          <w:pgMar w:top="800" w:right="1559" w:bottom="1860" w:left="1700" w:header="0" w:footer="1679" w:gutter="0"/>
          <w:pgBorders w:offsetFrom="page">
            <w:top w:val="single" w:sz="24" w:space="24" w:color="FFECAF"/>
            <w:left w:val="single" w:sz="24" w:space="24" w:color="FFECAF"/>
            <w:bottom w:val="single" w:sz="24" w:space="24" w:color="FFECAF"/>
            <w:right w:val="single" w:sz="24" w:space="24" w:color="FFECAF"/>
          </w:pgBorders>
          <w:pgNumType w:start="1"/>
          <w:cols w:space="720"/>
        </w:sectPr>
      </w:pPr>
      <w:r>
        <w:rPr>
          <w:spacing w:val="-2"/>
        </w:rPr>
        <w:t>CLÁUSULA</w:t>
      </w:r>
      <w:r>
        <w:tab/>
      </w:r>
      <w:r>
        <w:rPr>
          <w:spacing w:val="-2"/>
        </w:rPr>
        <w:t>MODELO</w:t>
      </w:r>
      <w:r>
        <w:tab/>
      </w:r>
      <w:r>
        <w:rPr>
          <w:spacing w:val="-6"/>
        </w:rPr>
        <w:t xml:space="preserve">DE </w:t>
      </w:r>
      <w:r>
        <w:t xml:space="preserve">SOMETIMIENTO A JUNTA DE PREVENCIÓN Y RESOLUCIÓN DE DISPUTAS ADMINISTRADA POR EL </w:t>
      </w:r>
      <w:r w:rsidR="00492493" w:rsidRPr="00492493">
        <w:t>CENTRO DE ARBITRAJE Y CONCILIACIÓN LATINOAMERICANO – CACL</w:t>
      </w:r>
    </w:p>
    <w:p w:rsidR="002477C5" w:rsidRPr="00606D9C" w:rsidRDefault="00492493" w:rsidP="00606D9C">
      <w:pPr>
        <w:ind w:left="4468"/>
        <w:rPr>
          <w:sz w:val="20"/>
        </w:rPr>
      </w:pPr>
      <w:r>
        <w:rPr>
          <w:b/>
          <w:i/>
          <w:noProof/>
          <w:lang w:val="en-US"/>
        </w:rPr>
        <w:lastRenderedPageBreak/>
        <w:drawing>
          <wp:anchor distT="0" distB="0" distL="114300" distR="114300" simplePos="0" relativeHeight="251655680" behindDoc="0" locked="0" layoutInCell="1" allowOverlap="1" wp14:anchorId="454E15F2" wp14:editId="5FACD05C">
            <wp:simplePos x="0" y="0"/>
            <wp:positionH relativeFrom="column">
              <wp:posOffset>4749800</wp:posOffset>
            </wp:positionH>
            <wp:positionV relativeFrom="paragraph">
              <wp:posOffset>111125</wp:posOffset>
            </wp:positionV>
            <wp:extent cx="830580" cy="720090"/>
            <wp:effectExtent l="0" t="0" r="7620" b="3810"/>
            <wp:wrapTopAndBottom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0580" cy="7200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477C5" w:rsidRDefault="00A53C95" w:rsidP="009230E9">
      <w:pPr>
        <w:pStyle w:val="Textoindependiente"/>
        <w:spacing w:line="276" w:lineRule="auto"/>
        <w:ind w:left="2" w:right="137"/>
        <w:jc w:val="both"/>
      </w:pPr>
      <w:r>
        <w:t>“Las partes</w:t>
      </w:r>
      <w:r w:rsidR="009812C1">
        <w:t xml:space="preserve"> con el objeto de</w:t>
      </w:r>
      <w:r>
        <w:t xml:space="preserve"> </w:t>
      </w:r>
      <w:r w:rsidR="009812C1">
        <w:t>dar solución a</w:t>
      </w:r>
      <w:r>
        <w:t xml:space="preserve"> todas las controversias derivadas de la ejecución</w:t>
      </w:r>
      <w:r>
        <w:rPr>
          <w:spacing w:val="-10"/>
        </w:rPr>
        <w:t xml:space="preserve"> </w:t>
      </w:r>
      <w:r>
        <w:t>del</w:t>
      </w:r>
      <w:r>
        <w:rPr>
          <w:spacing w:val="-9"/>
        </w:rPr>
        <w:t xml:space="preserve"> </w:t>
      </w:r>
      <w:r>
        <w:t>presente</w:t>
      </w:r>
      <w:r>
        <w:rPr>
          <w:spacing w:val="-9"/>
        </w:rPr>
        <w:t xml:space="preserve"> </w:t>
      </w:r>
      <w:r>
        <w:t>Contrato</w:t>
      </w:r>
      <w:r>
        <w:rPr>
          <w:spacing w:val="-10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Obra</w:t>
      </w:r>
      <w:r w:rsidR="009812C1">
        <w:t>, acuerdan</w:t>
      </w:r>
      <w:r>
        <w:t>,</w:t>
      </w:r>
      <w:r>
        <w:rPr>
          <w:spacing w:val="-10"/>
        </w:rPr>
        <w:t xml:space="preserve"> </w:t>
      </w:r>
      <w:r>
        <w:t>se</w:t>
      </w:r>
      <w:r>
        <w:rPr>
          <w:spacing w:val="-9"/>
        </w:rPr>
        <w:t xml:space="preserve"> </w:t>
      </w:r>
      <w:r>
        <w:t>forme</w:t>
      </w:r>
      <w:r>
        <w:rPr>
          <w:spacing w:val="-9"/>
        </w:rPr>
        <w:t xml:space="preserve"> </w:t>
      </w:r>
      <w:r>
        <w:t>una</w:t>
      </w:r>
      <w:r>
        <w:rPr>
          <w:spacing w:val="-10"/>
        </w:rPr>
        <w:t xml:space="preserve"> </w:t>
      </w:r>
      <w:r>
        <w:t>Junta</w:t>
      </w:r>
      <w:r>
        <w:rPr>
          <w:spacing w:val="-10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Prevención</w:t>
      </w:r>
      <w:r>
        <w:rPr>
          <w:spacing w:val="-10"/>
        </w:rPr>
        <w:t xml:space="preserve"> </w:t>
      </w:r>
      <w:r>
        <w:t>y</w:t>
      </w:r>
      <w:r>
        <w:rPr>
          <w:spacing w:val="-9"/>
        </w:rPr>
        <w:t xml:space="preserve"> </w:t>
      </w:r>
      <w:r>
        <w:t>Resolución de Disputas (en adelante, la JPRD) de acuerdo a las disposiciones establecidas en la Ley General de Contrataciones Públicas</w:t>
      </w:r>
      <w:r w:rsidR="009812C1">
        <w:t xml:space="preserve"> 32069</w:t>
      </w:r>
      <w:r>
        <w:t>, su Reglamento</w:t>
      </w:r>
      <w:r w:rsidR="009812C1">
        <w:t xml:space="preserve"> DECRETO SUPREMO Nº 009-2025-EF</w:t>
      </w:r>
      <w:r>
        <w:t>, las directivas que emita</w:t>
      </w:r>
      <w:r w:rsidR="009812C1">
        <w:t xml:space="preserve"> el</w:t>
      </w:r>
      <w:r>
        <w:t xml:space="preserve"> </w:t>
      </w:r>
      <w:r w:rsidR="009812C1" w:rsidRPr="009812C1">
        <w:t>Organismo Especializado para las Contrataciones Públicas Eficientes</w:t>
      </w:r>
      <w:r>
        <w:t xml:space="preserve"> al respecto (en adelante, las “Normas Aplicables a la JPRD”); encargando su organización y administración al </w:t>
      </w:r>
      <w:r w:rsidR="00492493" w:rsidRPr="00492493">
        <w:t>CENTRO DE ARBITRAJE Y CONCILIACIÓN LATINOAMERICANO – CACL</w:t>
      </w:r>
      <w:r>
        <w:t>.</w:t>
      </w:r>
      <w:r>
        <w:rPr>
          <w:spacing w:val="20"/>
        </w:rPr>
        <w:t xml:space="preserve"> </w:t>
      </w:r>
      <w:r>
        <w:t>La</w:t>
      </w:r>
      <w:r>
        <w:rPr>
          <w:spacing w:val="19"/>
        </w:rPr>
        <w:t xml:space="preserve"> </w:t>
      </w:r>
      <w:r>
        <w:t>JPRD</w:t>
      </w:r>
      <w:r>
        <w:rPr>
          <w:spacing w:val="16"/>
        </w:rPr>
        <w:t xml:space="preserve"> </w:t>
      </w:r>
      <w:r>
        <w:t>estará</w:t>
      </w:r>
      <w:r>
        <w:rPr>
          <w:spacing w:val="17"/>
        </w:rPr>
        <w:t xml:space="preserve"> </w:t>
      </w:r>
      <w:r>
        <w:t>compuesta</w:t>
      </w:r>
      <w:r>
        <w:rPr>
          <w:spacing w:val="19"/>
        </w:rPr>
        <w:t xml:space="preserve"> </w:t>
      </w:r>
      <w:r w:rsidR="009230E9">
        <w:t>por</w:t>
      </w:r>
      <w:r w:rsidR="009230E9">
        <w:rPr>
          <w:spacing w:val="80"/>
        </w:rPr>
        <w:t xml:space="preserve"> [</w:t>
      </w:r>
      <w:bookmarkStart w:id="0" w:name="_GoBack"/>
      <w:bookmarkEnd w:id="0"/>
      <w:r>
        <w:t>tres]</w:t>
      </w:r>
      <w:r>
        <w:rPr>
          <w:spacing w:val="18"/>
        </w:rPr>
        <w:t xml:space="preserve"> </w:t>
      </w:r>
      <w:r>
        <w:t>miembro(s),</w:t>
      </w:r>
      <w:r w:rsidR="009230E9">
        <w:t xml:space="preserve"> </w:t>
      </w:r>
      <w:r>
        <w:t>los/el</w:t>
      </w:r>
      <w:r>
        <w:rPr>
          <w:spacing w:val="-7"/>
        </w:rPr>
        <w:t xml:space="preserve"> </w:t>
      </w:r>
      <w:r>
        <w:t>cual/es</w:t>
      </w:r>
      <w:r>
        <w:rPr>
          <w:spacing w:val="-4"/>
        </w:rPr>
        <w:t xml:space="preserve"> </w:t>
      </w:r>
      <w:r>
        <w:t>será/n</w:t>
      </w:r>
      <w:r>
        <w:rPr>
          <w:spacing w:val="-3"/>
        </w:rPr>
        <w:t xml:space="preserve"> </w:t>
      </w:r>
      <w:r>
        <w:t>designado/s</w:t>
      </w:r>
      <w:r>
        <w:rPr>
          <w:spacing w:val="-3"/>
        </w:rPr>
        <w:t xml:space="preserve"> </w:t>
      </w:r>
      <w:r>
        <w:t>conforme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las</w:t>
      </w:r>
      <w:r>
        <w:rPr>
          <w:spacing w:val="-4"/>
        </w:rPr>
        <w:t xml:space="preserve"> </w:t>
      </w:r>
      <w:r>
        <w:t>Normas</w:t>
      </w:r>
      <w:r>
        <w:rPr>
          <w:spacing w:val="-3"/>
        </w:rPr>
        <w:t xml:space="preserve"> </w:t>
      </w:r>
      <w:r>
        <w:t>Aplicables</w:t>
      </w:r>
      <w:r>
        <w:rPr>
          <w:spacing w:val="-4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la</w:t>
      </w:r>
      <w:r>
        <w:rPr>
          <w:spacing w:val="-2"/>
        </w:rPr>
        <w:t xml:space="preserve"> JPRD.</w:t>
      </w:r>
    </w:p>
    <w:p w:rsidR="002477C5" w:rsidRDefault="002477C5">
      <w:pPr>
        <w:pStyle w:val="Textoindependiente"/>
        <w:spacing w:before="78"/>
      </w:pPr>
    </w:p>
    <w:p w:rsidR="002477C5" w:rsidRPr="00492493" w:rsidRDefault="00A53C95" w:rsidP="00492493">
      <w:pPr>
        <w:pStyle w:val="Textoindependiente"/>
        <w:spacing w:line="276" w:lineRule="auto"/>
        <w:ind w:left="2" w:right="137"/>
        <w:jc w:val="both"/>
      </w:pPr>
      <w:r>
        <w:t>Todas</w:t>
      </w:r>
      <w:r>
        <w:rPr>
          <w:spacing w:val="-2"/>
        </w:rPr>
        <w:t xml:space="preserve"> </w:t>
      </w:r>
      <w:r>
        <w:t>las</w:t>
      </w:r>
      <w:r>
        <w:rPr>
          <w:spacing w:val="-2"/>
        </w:rPr>
        <w:t xml:space="preserve"> </w:t>
      </w:r>
      <w:r>
        <w:t>controversias</w:t>
      </w:r>
      <w:r>
        <w:rPr>
          <w:spacing w:val="-2"/>
        </w:rPr>
        <w:t xml:space="preserve"> </w:t>
      </w:r>
      <w:r w:rsidR="009812C1">
        <w:t>que sugieran</w:t>
      </w:r>
      <w:r>
        <w:rPr>
          <w:spacing w:val="-1"/>
        </w:rPr>
        <w:t xml:space="preserve"> </w:t>
      </w:r>
      <w:r>
        <w:t>las</w:t>
      </w:r>
      <w:r>
        <w:rPr>
          <w:spacing w:val="-2"/>
        </w:rPr>
        <w:t xml:space="preserve"> </w:t>
      </w:r>
      <w:r>
        <w:t>partes</w:t>
      </w:r>
      <w:r>
        <w:rPr>
          <w:spacing w:val="-5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>ocasión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ejecución</w:t>
      </w:r>
      <w:r>
        <w:rPr>
          <w:spacing w:val="-1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presente Contrato de Obra deben ser sometidas, en primer lugar, a la decisión de la JPRD de conformidad</w:t>
      </w:r>
      <w:r>
        <w:rPr>
          <w:spacing w:val="-7"/>
        </w:rPr>
        <w:t xml:space="preserve"> </w:t>
      </w:r>
      <w:r>
        <w:t>con</w:t>
      </w:r>
      <w:r>
        <w:rPr>
          <w:spacing w:val="-7"/>
        </w:rPr>
        <w:t xml:space="preserve"> </w:t>
      </w:r>
      <w:r>
        <w:t>las</w:t>
      </w:r>
      <w:r>
        <w:rPr>
          <w:spacing w:val="-6"/>
        </w:rPr>
        <w:t xml:space="preserve"> </w:t>
      </w:r>
      <w:r>
        <w:t>Normas</w:t>
      </w:r>
      <w:r>
        <w:rPr>
          <w:spacing w:val="-6"/>
        </w:rPr>
        <w:t xml:space="preserve"> </w:t>
      </w:r>
      <w:r>
        <w:t>Aplicables</w:t>
      </w:r>
      <w:r>
        <w:rPr>
          <w:spacing w:val="-6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las</w:t>
      </w:r>
      <w:r>
        <w:rPr>
          <w:spacing w:val="-6"/>
        </w:rPr>
        <w:t xml:space="preserve"> </w:t>
      </w:r>
      <w:r>
        <w:t>JPRD</w:t>
      </w:r>
      <w:r>
        <w:rPr>
          <w:spacing w:val="-5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al</w:t>
      </w:r>
      <w:r>
        <w:rPr>
          <w:spacing w:val="-4"/>
        </w:rPr>
        <w:t xml:space="preserve"> </w:t>
      </w:r>
      <w:r>
        <w:t>Reglamento</w:t>
      </w:r>
      <w:r>
        <w:rPr>
          <w:spacing w:val="-7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JPRD</w:t>
      </w:r>
      <w:r>
        <w:rPr>
          <w:spacing w:val="-5"/>
        </w:rPr>
        <w:t xml:space="preserve"> </w:t>
      </w:r>
      <w:r>
        <w:t>del</w:t>
      </w:r>
      <w:r>
        <w:rPr>
          <w:spacing w:val="-6"/>
        </w:rPr>
        <w:t xml:space="preserve"> </w:t>
      </w:r>
      <w:r w:rsidR="00492493" w:rsidRPr="00492493">
        <w:t>CENTRO DE ARBITRAJE Y CONCILIACIÓN LATINOAMERICANO – CACL</w:t>
      </w:r>
    </w:p>
    <w:p w:rsidR="002477C5" w:rsidRDefault="00A53C95">
      <w:pPr>
        <w:pStyle w:val="Textoindependiente"/>
        <w:spacing w:before="1" w:line="276" w:lineRule="auto"/>
        <w:ind w:left="2" w:right="137"/>
        <w:jc w:val="both"/>
      </w:pPr>
      <w:r>
        <w:t xml:space="preserve">Toda decisión que emita la JPRD es vinculante; en consecuencia, su cumplimiento es obligatorio y debe ser inmediato para las partes conforme a lo establecido en las Normas Aplicables a la JPRD. El incumplimiento de una decisión de la JPRD otorga a la parte afectada la potestad de resolver el contrato, previo aviso requiriendo el cumplimiento o utilizar los apremios que señale la ley o el reglamento de la especialidad o el Reglamento </w:t>
      </w:r>
      <w:r>
        <w:rPr>
          <w:spacing w:val="-2"/>
        </w:rPr>
        <w:t>para</w:t>
      </w:r>
      <w:r>
        <w:rPr>
          <w:spacing w:val="-7"/>
        </w:rPr>
        <w:t xml:space="preserve"> </w:t>
      </w:r>
      <w:r>
        <w:rPr>
          <w:spacing w:val="-2"/>
        </w:rPr>
        <w:t>JPRD</w:t>
      </w:r>
      <w:r>
        <w:rPr>
          <w:spacing w:val="-6"/>
        </w:rPr>
        <w:t xml:space="preserve"> </w:t>
      </w:r>
      <w:r>
        <w:rPr>
          <w:spacing w:val="-2"/>
        </w:rPr>
        <w:t>del</w:t>
      </w:r>
      <w:r>
        <w:rPr>
          <w:spacing w:val="-6"/>
        </w:rPr>
        <w:t xml:space="preserve"> </w:t>
      </w:r>
      <w:r w:rsidR="00492493" w:rsidRPr="00492493">
        <w:rPr>
          <w:spacing w:val="-2"/>
        </w:rPr>
        <w:t>CENTRO DE ARBITRAJE Y CONCILIACIÓN LATINOAMERICANO – CACL</w:t>
      </w:r>
      <w:r w:rsidRPr="00492493">
        <w:rPr>
          <w:spacing w:val="-2"/>
        </w:rPr>
        <w:t>.</w:t>
      </w:r>
    </w:p>
    <w:p w:rsidR="002477C5" w:rsidRDefault="002477C5">
      <w:pPr>
        <w:pStyle w:val="Textoindependiente"/>
        <w:spacing w:before="39"/>
      </w:pPr>
    </w:p>
    <w:p w:rsidR="002477C5" w:rsidRDefault="00A53C95">
      <w:pPr>
        <w:pStyle w:val="Textoindependiente"/>
        <w:spacing w:line="276" w:lineRule="auto"/>
        <w:ind w:left="2" w:right="138"/>
        <w:jc w:val="both"/>
      </w:pPr>
      <w:r>
        <w:t>En</w:t>
      </w:r>
      <w:r>
        <w:rPr>
          <w:spacing w:val="-4"/>
        </w:rPr>
        <w:t xml:space="preserve"> </w:t>
      </w:r>
      <w:r>
        <w:t>caso</w:t>
      </w:r>
      <w:r>
        <w:rPr>
          <w:spacing w:val="-6"/>
        </w:rPr>
        <w:t xml:space="preserve"> </w:t>
      </w:r>
      <w:r>
        <w:t>alguna</w:t>
      </w:r>
      <w:r>
        <w:rPr>
          <w:spacing w:val="-6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las</w:t>
      </w:r>
      <w:r>
        <w:rPr>
          <w:spacing w:val="-7"/>
        </w:rPr>
        <w:t xml:space="preserve"> </w:t>
      </w:r>
      <w:r>
        <w:t>Partes</w:t>
      </w:r>
      <w:r>
        <w:rPr>
          <w:spacing w:val="-5"/>
        </w:rPr>
        <w:t xml:space="preserve"> </w:t>
      </w:r>
      <w:r>
        <w:t>no</w:t>
      </w:r>
      <w:r>
        <w:rPr>
          <w:spacing w:val="-6"/>
        </w:rPr>
        <w:t xml:space="preserve"> </w:t>
      </w:r>
      <w:r>
        <w:t>esté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acuerdo</w:t>
      </w:r>
      <w:r>
        <w:rPr>
          <w:spacing w:val="-6"/>
        </w:rPr>
        <w:t xml:space="preserve"> </w:t>
      </w:r>
      <w:r>
        <w:t>con</w:t>
      </w:r>
      <w:r>
        <w:rPr>
          <w:spacing w:val="-6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decisión</w:t>
      </w:r>
      <w:r>
        <w:rPr>
          <w:spacing w:val="-6"/>
        </w:rPr>
        <w:t xml:space="preserve"> </w:t>
      </w:r>
      <w:r>
        <w:t>emitida</w:t>
      </w:r>
      <w:r>
        <w:rPr>
          <w:spacing w:val="-4"/>
        </w:rPr>
        <w:t xml:space="preserve"> </w:t>
      </w:r>
      <w:r>
        <w:t>por</w:t>
      </w:r>
      <w:r>
        <w:rPr>
          <w:spacing w:val="-7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JPRD,</w:t>
      </w:r>
      <w:r>
        <w:rPr>
          <w:spacing w:val="-4"/>
        </w:rPr>
        <w:t xml:space="preserve"> </w:t>
      </w:r>
      <w:r>
        <w:t>podrá someter</w:t>
      </w:r>
      <w:r>
        <w:rPr>
          <w:spacing w:val="-3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controversia</w:t>
      </w:r>
      <w:r>
        <w:rPr>
          <w:spacing w:val="-3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un</w:t>
      </w:r>
      <w:r>
        <w:rPr>
          <w:spacing w:val="-3"/>
        </w:rPr>
        <w:t xml:space="preserve"> </w:t>
      </w:r>
      <w:r>
        <w:t>arbitraje</w:t>
      </w:r>
      <w:r>
        <w:rPr>
          <w:spacing w:val="-3"/>
        </w:rPr>
        <w:t xml:space="preserve"> </w:t>
      </w:r>
      <w:r>
        <w:t>administrado</w:t>
      </w:r>
      <w:r>
        <w:rPr>
          <w:spacing w:val="-5"/>
        </w:rPr>
        <w:t xml:space="preserve"> </w:t>
      </w:r>
      <w:r>
        <w:t>por</w:t>
      </w:r>
      <w:r>
        <w:rPr>
          <w:spacing w:val="-3"/>
        </w:rPr>
        <w:t xml:space="preserve"> </w:t>
      </w:r>
      <w:r>
        <w:t>el</w:t>
      </w:r>
      <w:r>
        <w:rPr>
          <w:spacing w:val="-4"/>
        </w:rPr>
        <w:t xml:space="preserve"> </w:t>
      </w:r>
      <w:r w:rsidR="00492493" w:rsidRPr="00492493">
        <w:t>CENTRO DE ARBITRAJE Y CONCILIACIÓN LATINOAMERICANO – CACL</w:t>
      </w:r>
      <w:r w:rsidRPr="00492493">
        <w:t>,</w:t>
      </w:r>
      <w:r>
        <w:t xml:space="preserve"> conforme a lo establecido en las Normas Aplicables</w:t>
      </w:r>
      <w:r>
        <w:rPr>
          <w:spacing w:val="-15"/>
        </w:rPr>
        <w:t xml:space="preserve"> </w:t>
      </w:r>
      <w:r>
        <w:t>a</w:t>
      </w:r>
      <w:r>
        <w:rPr>
          <w:spacing w:val="-14"/>
        </w:rPr>
        <w:t xml:space="preserve"> </w:t>
      </w:r>
      <w:r>
        <w:t>la</w:t>
      </w:r>
      <w:r>
        <w:rPr>
          <w:spacing w:val="-15"/>
        </w:rPr>
        <w:t xml:space="preserve"> </w:t>
      </w:r>
      <w:r>
        <w:t>JPRD.</w:t>
      </w:r>
      <w:r>
        <w:rPr>
          <w:spacing w:val="-14"/>
        </w:rPr>
        <w:t xml:space="preserve"> </w:t>
      </w:r>
      <w:r>
        <w:t>Es</w:t>
      </w:r>
      <w:r>
        <w:rPr>
          <w:spacing w:val="-14"/>
        </w:rPr>
        <w:t xml:space="preserve"> </w:t>
      </w:r>
      <w:r>
        <w:t>condición</w:t>
      </w:r>
      <w:r>
        <w:rPr>
          <w:spacing w:val="-15"/>
        </w:rPr>
        <w:t xml:space="preserve"> </w:t>
      </w:r>
      <w:r>
        <w:t>obligatoria</w:t>
      </w:r>
      <w:r>
        <w:rPr>
          <w:spacing w:val="-14"/>
        </w:rPr>
        <w:t xml:space="preserve"> </w:t>
      </w:r>
      <w:r>
        <w:t>para</w:t>
      </w:r>
      <w:r>
        <w:rPr>
          <w:spacing w:val="-14"/>
        </w:rPr>
        <w:t xml:space="preserve"> </w:t>
      </w:r>
      <w:r>
        <w:t>el</w:t>
      </w:r>
      <w:r>
        <w:rPr>
          <w:spacing w:val="-15"/>
        </w:rPr>
        <w:t xml:space="preserve"> </w:t>
      </w:r>
      <w:r>
        <w:t>inicio</w:t>
      </w:r>
      <w:r>
        <w:rPr>
          <w:spacing w:val="-14"/>
        </w:rPr>
        <w:t xml:space="preserve"> </w:t>
      </w:r>
      <w:r>
        <w:t>del</w:t>
      </w:r>
      <w:r>
        <w:rPr>
          <w:spacing w:val="-15"/>
        </w:rPr>
        <w:t xml:space="preserve"> </w:t>
      </w:r>
      <w:r>
        <w:t>arbitraje</w:t>
      </w:r>
      <w:r>
        <w:rPr>
          <w:spacing w:val="-14"/>
        </w:rPr>
        <w:t xml:space="preserve"> </w:t>
      </w:r>
      <w:r>
        <w:t>el</w:t>
      </w:r>
      <w:r>
        <w:rPr>
          <w:spacing w:val="-14"/>
        </w:rPr>
        <w:t xml:space="preserve"> </w:t>
      </w:r>
      <w:r>
        <w:t>haber</w:t>
      </w:r>
      <w:r>
        <w:rPr>
          <w:spacing w:val="-15"/>
        </w:rPr>
        <w:t xml:space="preserve"> </w:t>
      </w:r>
      <w:r>
        <w:t>concluido de modo previo el procedimiento ante la JPRD.</w:t>
      </w:r>
      <w:r w:rsidR="009812C1">
        <w:t xml:space="preserve"> </w:t>
      </w:r>
    </w:p>
    <w:p w:rsidR="002477C5" w:rsidRDefault="002477C5">
      <w:pPr>
        <w:pStyle w:val="Textoindependiente"/>
        <w:spacing w:before="39"/>
      </w:pPr>
    </w:p>
    <w:p w:rsidR="002477C5" w:rsidRPr="00492493" w:rsidRDefault="00A53C95" w:rsidP="00492493">
      <w:pPr>
        <w:pStyle w:val="Textoindependiente"/>
        <w:spacing w:line="276" w:lineRule="auto"/>
        <w:ind w:left="2" w:right="138"/>
        <w:jc w:val="both"/>
      </w:pPr>
      <w:r>
        <w:t>Las</w:t>
      </w:r>
      <w:r>
        <w:rPr>
          <w:spacing w:val="-15"/>
        </w:rPr>
        <w:t xml:space="preserve"> </w:t>
      </w:r>
      <w:r>
        <w:t>partes</w:t>
      </w:r>
      <w:r>
        <w:rPr>
          <w:spacing w:val="-14"/>
        </w:rPr>
        <w:t xml:space="preserve"> </w:t>
      </w:r>
      <w:r>
        <w:t>están</w:t>
      </w:r>
      <w:r>
        <w:rPr>
          <w:spacing w:val="-15"/>
        </w:rPr>
        <w:t xml:space="preserve"> </w:t>
      </w:r>
      <w:r>
        <w:t>obligadas</w:t>
      </w:r>
      <w:r>
        <w:rPr>
          <w:spacing w:val="-14"/>
        </w:rPr>
        <w:t xml:space="preserve"> </w:t>
      </w:r>
      <w:r>
        <w:t>a</w:t>
      </w:r>
      <w:r>
        <w:rPr>
          <w:spacing w:val="-14"/>
        </w:rPr>
        <w:t xml:space="preserve"> </w:t>
      </w:r>
      <w:r>
        <w:t>iniciar</w:t>
      </w:r>
      <w:r>
        <w:rPr>
          <w:spacing w:val="-15"/>
        </w:rPr>
        <w:t xml:space="preserve"> </w:t>
      </w:r>
      <w:r>
        <w:t>el</w:t>
      </w:r>
      <w:r>
        <w:rPr>
          <w:spacing w:val="-13"/>
        </w:rPr>
        <w:t xml:space="preserve"> </w:t>
      </w:r>
      <w:r>
        <w:t>arbitraje</w:t>
      </w:r>
      <w:r>
        <w:rPr>
          <w:spacing w:val="-14"/>
        </w:rPr>
        <w:t xml:space="preserve"> </w:t>
      </w:r>
      <w:r>
        <w:t>dentro</w:t>
      </w:r>
      <w:r>
        <w:rPr>
          <w:spacing w:val="-14"/>
        </w:rPr>
        <w:t xml:space="preserve"> </w:t>
      </w:r>
      <w:r>
        <w:t>del</w:t>
      </w:r>
      <w:r>
        <w:rPr>
          <w:spacing w:val="-13"/>
        </w:rPr>
        <w:t xml:space="preserve"> </w:t>
      </w:r>
      <w:r>
        <w:t>plazo</w:t>
      </w:r>
      <w:r>
        <w:rPr>
          <w:spacing w:val="-14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caducidad</w:t>
      </w:r>
      <w:r>
        <w:rPr>
          <w:spacing w:val="-13"/>
        </w:rPr>
        <w:t xml:space="preserve"> </w:t>
      </w:r>
      <w:r>
        <w:t>que</w:t>
      </w:r>
      <w:r>
        <w:rPr>
          <w:spacing w:val="-14"/>
        </w:rPr>
        <w:t xml:space="preserve"> </w:t>
      </w:r>
      <w:r>
        <w:t>establezca la</w:t>
      </w:r>
      <w:r>
        <w:rPr>
          <w:spacing w:val="-5"/>
        </w:rPr>
        <w:t xml:space="preserve"> </w:t>
      </w:r>
      <w:r>
        <w:t>ley</w:t>
      </w:r>
      <w:r>
        <w:rPr>
          <w:spacing w:val="-4"/>
        </w:rPr>
        <w:t xml:space="preserve"> </w:t>
      </w:r>
      <w:r>
        <w:t>aplicable</w:t>
      </w:r>
      <w:r>
        <w:rPr>
          <w:spacing w:val="-4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cada</w:t>
      </w:r>
      <w:r>
        <w:rPr>
          <w:spacing w:val="-7"/>
        </w:rPr>
        <w:t xml:space="preserve"> </w:t>
      </w:r>
      <w:r>
        <w:t>supuesto</w:t>
      </w:r>
      <w:r>
        <w:rPr>
          <w:spacing w:val="-5"/>
        </w:rPr>
        <w:t xml:space="preserve"> </w:t>
      </w:r>
      <w:r>
        <w:t>allí</w:t>
      </w:r>
      <w:r>
        <w:rPr>
          <w:spacing w:val="-7"/>
        </w:rPr>
        <w:t xml:space="preserve"> </w:t>
      </w:r>
      <w:r>
        <w:t>previsto,</w:t>
      </w:r>
      <w:r>
        <w:rPr>
          <w:spacing w:val="-5"/>
        </w:rPr>
        <w:t xml:space="preserve"> </w:t>
      </w:r>
      <w:r>
        <w:t>según</w:t>
      </w:r>
      <w:r>
        <w:rPr>
          <w:spacing w:val="-5"/>
        </w:rPr>
        <w:t xml:space="preserve"> </w:t>
      </w:r>
      <w:r>
        <w:t>el</w:t>
      </w:r>
      <w:r>
        <w:rPr>
          <w:spacing w:val="-4"/>
        </w:rPr>
        <w:t xml:space="preserve"> </w:t>
      </w:r>
      <w:r>
        <w:t>reglamento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especialidad</w:t>
      </w:r>
      <w:r>
        <w:rPr>
          <w:spacing w:val="-7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 xml:space="preserve">el Reglamento del </w:t>
      </w:r>
      <w:r w:rsidR="00492493" w:rsidRPr="00492493">
        <w:t>CENTRO DE ARBITRAJE Y CONCILIACIÓN LATINOAMERICANO – CACL</w:t>
      </w:r>
      <w:r w:rsidRPr="00492493">
        <w:t>;</w:t>
      </w:r>
      <w:r>
        <w:rPr>
          <w:spacing w:val="-15"/>
        </w:rPr>
        <w:t xml:space="preserve"> </w:t>
      </w:r>
      <w:r>
        <w:t>para</w:t>
      </w:r>
      <w:r>
        <w:rPr>
          <w:spacing w:val="-14"/>
        </w:rPr>
        <w:t xml:space="preserve"> </w:t>
      </w:r>
      <w:r>
        <w:t>ello</w:t>
      </w:r>
      <w:r>
        <w:rPr>
          <w:spacing w:val="-15"/>
        </w:rPr>
        <w:t xml:space="preserve"> </w:t>
      </w:r>
      <w:r>
        <w:t>deberán</w:t>
      </w:r>
      <w:r>
        <w:rPr>
          <w:spacing w:val="-14"/>
        </w:rPr>
        <w:t xml:space="preserve"> </w:t>
      </w:r>
      <w:r>
        <w:t>presentar</w:t>
      </w:r>
      <w:r>
        <w:rPr>
          <w:spacing w:val="-14"/>
        </w:rPr>
        <w:t xml:space="preserve"> </w:t>
      </w:r>
      <w:r>
        <w:t>su</w:t>
      </w:r>
      <w:r>
        <w:rPr>
          <w:spacing w:val="-15"/>
        </w:rPr>
        <w:t xml:space="preserve"> </w:t>
      </w:r>
      <w:r>
        <w:t>solicitud</w:t>
      </w:r>
      <w:r>
        <w:rPr>
          <w:spacing w:val="-14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arbitraje</w:t>
      </w:r>
      <w:r>
        <w:rPr>
          <w:spacing w:val="-15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acuerdo</w:t>
      </w:r>
      <w:r>
        <w:rPr>
          <w:spacing w:val="-15"/>
        </w:rPr>
        <w:t xml:space="preserve"> </w:t>
      </w:r>
      <w:r>
        <w:t>con</w:t>
      </w:r>
      <w:r>
        <w:rPr>
          <w:spacing w:val="-14"/>
        </w:rPr>
        <w:t xml:space="preserve"> </w:t>
      </w:r>
      <w:r>
        <w:t>el</w:t>
      </w:r>
      <w:r>
        <w:rPr>
          <w:spacing w:val="-14"/>
        </w:rPr>
        <w:t xml:space="preserve"> </w:t>
      </w:r>
      <w:r>
        <w:t xml:space="preserve">Reglamento Procesal de Arbitraje del Centro de </w:t>
      </w:r>
      <w:r w:rsidR="00492493" w:rsidRPr="00492493">
        <w:t>CENTRO DE ARBITRAJE Y CONCILIACIÓN LATINOAMERICANO – CACL</w:t>
      </w:r>
    </w:p>
    <w:p w:rsidR="002477C5" w:rsidRDefault="00A53C95">
      <w:pPr>
        <w:pStyle w:val="Textoindependiente"/>
        <w:spacing w:line="276" w:lineRule="auto"/>
        <w:ind w:left="2" w:right="138"/>
        <w:jc w:val="both"/>
      </w:pPr>
      <w:r>
        <w:t>Si una Parte no manifiesta su disconformidad con una decisión emitida por la JPRD en el plazo</w:t>
      </w:r>
      <w:r>
        <w:rPr>
          <w:spacing w:val="-5"/>
        </w:rPr>
        <w:t xml:space="preserve"> </w:t>
      </w:r>
      <w:r>
        <w:t>previsto</w:t>
      </w:r>
      <w:r>
        <w:rPr>
          <w:spacing w:val="-5"/>
        </w:rPr>
        <w:t xml:space="preserve"> </w:t>
      </w:r>
      <w:r>
        <w:t>en</w:t>
      </w:r>
      <w:r>
        <w:rPr>
          <w:spacing w:val="-7"/>
        </w:rPr>
        <w:t xml:space="preserve"> </w:t>
      </w:r>
      <w:r>
        <w:t>las</w:t>
      </w:r>
      <w:r>
        <w:rPr>
          <w:spacing w:val="-6"/>
        </w:rPr>
        <w:t xml:space="preserve"> </w:t>
      </w:r>
      <w:r>
        <w:t>Normas</w:t>
      </w:r>
      <w:r>
        <w:rPr>
          <w:spacing w:val="-6"/>
        </w:rPr>
        <w:t xml:space="preserve"> </w:t>
      </w:r>
      <w:r>
        <w:t>Aplicables</w:t>
      </w:r>
      <w:r>
        <w:rPr>
          <w:spacing w:val="-6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las</w:t>
      </w:r>
      <w:r>
        <w:rPr>
          <w:spacing w:val="-6"/>
        </w:rPr>
        <w:t xml:space="preserve"> </w:t>
      </w:r>
      <w:r>
        <w:t>JPRD,</w:t>
      </w:r>
      <w:r>
        <w:rPr>
          <w:spacing w:val="-5"/>
        </w:rPr>
        <w:t xml:space="preserve"> </w:t>
      </w:r>
      <w:r>
        <w:t>dicha</w:t>
      </w:r>
      <w:r>
        <w:rPr>
          <w:spacing w:val="-5"/>
        </w:rPr>
        <w:t xml:space="preserve"> </w:t>
      </w:r>
      <w:r>
        <w:t>decisión</w:t>
      </w:r>
      <w:r>
        <w:rPr>
          <w:spacing w:val="-5"/>
        </w:rPr>
        <w:t xml:space="preserve"> </w:t>
      </w:r>
      <w:r>
        <w:t>adquirirá</w:t>
      </w:r>
      <w:r>
        <w:rPr>
          <w:spacing w:val="-5"/>
        </w:rPr>
        <w:t xml:space="preserve"> </w:t>
      </w:r>
      <w:r>
        <w:t>el</w:t>
      </w:r>
      <w:r>
        <w:rPr>
          <w:spacing w:val="-7"/>
        </w:rPr>
        <w:t xml:space="preserve"> </w:t>
      </w:r>
      <w:r>
        <w:t>carácter</w:t>
      </w:r>
      <w:r>
        <w:rPr>
          <w:spacing w:val="-6"/>
        </w:rPr>
        <w:t xml:space="preserve"> </w:t>
      </w:r>
      <w:r>
        <w:t>de definitiva</w:t>
      </w:r>
      <w:r>
        <w:rPr>
          <w:spacing w:val="-12"/>
        </w:rPr>
        <w:t xml:space="preserve"> </w:t>
      </w:r>
      <w:r>
        <w:t>y</w:t>
      </w:r>
      <w:r>
        <w:rPr>
          <w:spacing w:val="-11"/>
        </w:rPr>
        <w:t xml:space="preserve"> </w:t>
      </w:r>
      <w:r>
        <w:t>no</w:t>
      </w:r>
      <w:r>
        <w:rPr>
          <w:spacing w:val="-12"/>
        </w:rPr>
        <w:t xml:space="preserve"> </w:t>
      </w:r>
      <w:r>
        <w:t>podrá</w:t>
      </w:r>
      <w:r>
        <w:rPr>
          <w:spacing w:val="-12"/>
        </w:rPr>
        <w:t xml:space="preserve"> </w:t>
      </w:r>
      <w:r>
        <w:t>ser</w:t>
      </w:r>
      <w:r>
        <w:rPr>
          <w:spacing w:val="-13"/>
        </w:rPr>
        <w:t xml:space="preserve"> </w:t>
      </w:r>
      <w:r>
        <w:t>sometida</w:t>
      </w:r>
      <w:r>
        <w:rPr>
          <w:spacing w:val="-12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>arbitraje.</w:t>
      </w:r>
      <w:r>
        <w:rPr>
          <w:spacing w:val="-12"/>
        </w:rPr>
        <w:t xml:space="preserve"> </w:t>
      </w:r>
      <w:r>
        <w:t>Si</w:t>
      </w:r>
      <w:r>
        <w:rPr>
          <w:spacing w:val="-12"/>
        </w:rPr>
        <w:t xml:space="preserve"> </w:t>
      </w:r>
      <w:r>
        <w:t>una</w:t>
      </w:r>
      <w:r>
        <w:rPr>
          <w:spacing w:val="-14"/>
        </w:rPr>
        <w:t xml:space="preserve"> </w:t>
      </w:r>
      <w:r>
        <w:t>Parte</w:t>
      </w:r>
      <w:r>
        <w:rPr>
          <w:spacing w:val="-11"/>
        </w:rPr>
        <w:t xml:space="preserve"> </w:t>
      </w:r>
      <w:r>
        <w:t>manifiesta</w:t>
      </w:r>
      <w:r>
        <w:rPr>
          <w:spacing w:val="-12"/>
        </w:rPr>
        <w:t xml:space="preserve"> </w:t>
      </w:r>
      <w:r>
        <w:t>su</w:t>
      </w:r>
      <w:r>
        <w:rPr>
          <w:spacing w:val="-12"/>
        </w:rPr>
        <w:t xml:space="preserve"> </w:t>
      </w:r>
      <w:r>
        <w:t>disconformidad</w:t>
      </w:r>
      <w:r>
        <w:rPr>
          <w:spacing w:val="-12"/>
        </w:rPr>
        <w:t xml:space="preserve"> </w:t>
      </w:r>
      <w:r>
        <w:t>con una</w:t>
      </w:r>
      <w:r>
        <w:rPr>
          <w:spacing w:val="-6"/>
        </w:rPr>
        <w:t xml:space="preserve"> </w:t>
      </w:r>
      <w:r>
        <w:t>decisión</w:t>
      </w:r>
      <w:r>
        <w:rPr>
          <w:spacing w:val="-6"/>
        </w:rPr>
        <w:t xml:space="preserve"> </w:t>
      </w:r>
      <w:r>
        <w:t>emitida</w:t>
      </w:r>
      <w:r>
        <w:rPr>
          <w:spacing w:val="-6"/>
        </w:rPr>
        <w:t xml:space="preserve"> </w:t>
      </w:r>
      <w:r>
        <w:t>por</w:t>
      </w:r>
      <w:r>
        <w:rPr>
          <w:spacing w:val="-7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JPRD</w:t>
      </w:r>
      <w:r>
        <w:rPr>
          <w:spacing w:val="-7"/>
        </w:rPr>
        <w:t xml:space="preserve"> </w:t>
      </w:r>
      <w:r>
        <w:t>en</w:t>
      </w:r>
      <w:r>
        <w:rPr>
          <w:spacing w:val="-6"/>
        </w:rPr>
        <w:t xml:space="preserve"> </w:t>
      </w:r>
      <w:r>
        <w:t>el</w:t>
      </w:r>
      <w:r>
        <w:rPr>
          <w:spacing w:val="-6"/>
        </w:rPr>
        <w:t xml:space="preserve"> </w:t>
      </w:r>
      <w:r>
        <w:t>plazo</w:t>
      </w:r>
      <w:r>
        <w:rPr>
          <w:spacing w:val="-6"/>
        </w:rPr>
        <w:t xml:space="preserve"> </w:t>
      </w:r>
      <w:r>
        <w:t>previsto</w:t>
      </w:r>
      <w:r>
        <w:rPr>
          <w:spacing w:val="-6"/>
        </w:rPr>
        <w:t xml:space="preserve"> </w:t>
      </w:r>
      <w:r>
        <w:t>en</w:t>
      </w:r>
      <w:r>
        <w:rPr>
          <w:spacing w:val="-6"/>
        </w:rPr>
        <w:t xml:space="preserve"> </w:t>
      </w:r>
      <w:r>
        <w:t>las</w:t>
      </w:r>
      <w:r>
        <w:rPr>
          <w:spacing w:val="-7"/>
        </w:rPr>
        <w:t xml:space="preserve"> </w:t>
      </w:r>
      <w:r>
        <w:t>Normas</w:t>
      </w:r>
      <w:r>
        <w:rPr>
          <w:spacing w:val="-7"/>
        </w:rPr>
        <w:t xml:space="preserve"> </w:t>
      </w:r>
      <w:r>
        <w:t>Aplicables</w:t>
      </w:r>
      <w:r>
        <w:rPr>
          <w:spacing w:val="-7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las</w:t>
      </w:r>
      <w:r>
        <w:rPr>
          <w:spacing w:val="-7"/>
        </w:rPr>
        <w:t xml:space="preserve"> </w:t>
      </w:r>
      <w:r>
        <w:t>JPRD, pero</w:t>
      </w:r>
      <w:r>
        <w:rPr>
          <w:spacing w:val="-12"/>
        </w:rPr>
        <w:t xml:space="preserve"> </w:t>
      </w:r>
      <w:r>
        <w:t>no</w:t>
      </w:r>
      <w:r>
        <w:rPr>
          <w:spacing w:val="-12"/>
        </w:rPr>
        <w:t xml:space="preserve"> </w:t>
      </w:r>
      <w:r>
        <w:t>inicia</w:t>
      </w:r>
      <w:r>
        <w:rPr>
          <w:spacing w:val="-12"/>
        </w:rPr>
        <w:t xml:space="preserve"> </w:t>
      </w:r>
      <w:r>
        <w:t>el</w:t>
      </w:r>
      <w:r>
        <w:rPr>
          <w:spacing w:val="-12"/>
        </w:rPr>
        <w:t xml:space="preserve"> </w:t>
      </w:r>
      <w:r>
        <w:t>arbitraje</w:t>
      </w:r>
      <w:r>
        <w:rPr>
          <w:spacing w:val="-14"/>
        </w:rPr>
        <w:t xml:space="preserve"> </w:t>
      </w:r>
      <w:r>
        <w:t>respectivo</w:t>
      </w:r>
      <w:r>
        <w:rPr>
          <w:spacing w:val="-14"/>
        </w:rPr>
        <w:t xml:space="preserve"> </w:t>
      </w:r>
      <w:r>
        <w:t>en</w:t>
      </w:r>
      <w:r>
        <w:rPr>
          <w:spacing w:val="-14"/>
        </w:rPr>
        <w:t xml:space="preserve"> </w:t>
      </w:r>
      <w:r>
        <w:t>el</w:t>
      </w:r>
      <w:r>
        <w:rPr>
          <w:spacing w:val="-12"/>
        </w:rPr>
        <w:t xml:space="preserve"> </w:t>
      </w:r>
      <w:r>
        <w:t>plazo</w:t>
      </w:r>
      <w:r>
        <w:rPr>
          <w:spacing w:val="-12"/>
        </w:rPr>
        <w:t xml:space="preserve"> </w:t>
      </w:r>
      <w:r>
        <w:t>previsto</w:t>
      </w:r>
      <w:r>
        <w:rPr>
          <w:spacing w:val="-12"/>
        </w:rPr>
        <w:t xml:space="preserve"> </w:t>
      </w:r>
      <w:r>
        <w:t>en</w:t>
      </w:r>
      <w:r>
        <w:rPr>
          <w:spacing w:val="-12"/>
        </w:rPr>
        <w:t xml:space="preserve"> </w:t>
      </w:r>
      <w:r>
        <w:t>dichas</w:t>
      </w:r>
      <w:r>
        <w:rPr>
          <w:spacing w:val="-13"/>
        </w:rPr>
        <w:t xml:space="preserve"> </w:t>
      </w:r>
      <w:r>
        <w:t>Normas,</w:t>
      </w:r>
      <w:r>
        <w:rPr>
          <w:spacing w:val="-12"/>
        </w:rPr>
        <w:t xml:space="preserve"> </w:t>
      </w:r>
      <w:r>
        <w:t>aquella</w:t>
      </w:r>
      <w:r>
        <w:rPr>
          <w:spacing w:val="-14"/>
        </w:rPr>
        <w:t xml:space="preserve"> </w:t>
      </w:r>
      <w:r>
        <w:t>adquiere la calidad de definitiva.”</w:t>
      </w:r>
    </w:p>
    <w:sectPr w:rsidR="002477C5" w:rsidSect="00492493">
      <w:pgSz w:w="11910" w:h="16840"/>
      <w:pgMar w:top="800" w:right="1559" w:bottom="1860" w:left="1700" w:header="0" w:footer="1679" w:gutter="0"/>
      <w:pgBorders w:offsetFrom="page">
        <w:top w:val="single" w:sz="24" w:space="24" w:color="FFECAF"/>
        <w:left w:val="single" w:sz="24" w:space="24" w:color="FFECAF"/>
        <w:bottom w:val="single" w:sz="24" w:space="24" w:color="FFECAF"/>
        <w:right w:val="single" w:sz="24" w:space="24" w:color="FFECAF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416F" w:rsidRDefault="0000416F">
      <w:r>
        <w:separator/>
      </w:r>
    </w:p>
  </w:endnote>
  <w:endnote w:type="continuationSeparator" w:id="0">
    <w:p w:rsidR="0000416F" w:rsidRDefault="000041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2493" w:rsidRDefault="00492493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77C5" w:rsidRDefault="002477C5">
    <w:pPr>
      <w:pStyle w:val="Textoindependiente"/>
      <w:spacing w:line="14" w:lineRule="auto"/>
      <w:rPr>
        <w:i w:val="0"/>
        <w:sz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2493" w:rsidRDefault="00492493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416F" w:rsidRDefault="0000416F">
      <w:r>
        <w:separator/>
      </w:r>
    </w:p>
  </w:footnote>
  <w:footnote w:type="continuationSeparator" w:id="0">
    <w:p w:rsidR="0000416F" w:rsidRDefault="000041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2493" w:rsidRDefault="0000416F">
    <w:pPr>
      <w:pStyle w:val="Encabezado"/>
    </w:pPr>
    <w:r>
      <w:rPr>
        <w:noProof/>
        <w:lang w:val="en-U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89037844" o:spid="_x0000_s2053" type="#_x0000_t75" style="position:absolute;margin-left:0;margin-top:0;width:6in;height:380.1pt;z-index:-251657216;mso-position-horizontal:center;mso-position-horizontal-relative:margin;mso-position-vertical:center;mso-position-vertical-relative:margin" o:allowincell="f">
          <v:imagedata r:id="rId1" o:title="ARBITRAJE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2493" w:rsidRDefault="0000416F">
    <w:pPr>
      <w:pStyle w:val="Encabezado"/>
    </w:pPr>
    <w:r>
      <w:rPr>
        <w:noProof/>
        <w:lang w:val="en-U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89037845" o:spid="_x0000_s2054" type="#_x0000_t75" style="position:absolute;margin-left:0;margin-top:0;width:6in;height:380.1pt;z-index:-251656192;mso-position-horizontal:center;mso-position-horizontal-relative:margin;mso-position-vertical:center;mso-position-vertical-relative:margin" o:allowincell="f">
          <v:imagedata r:id="rId1" o:title="ARBITRAJE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2493" w:rsidRDefault="0000416F">
    <w:pPr>
      <w:pStyle w:val="Encabezado"/>
    </w:pPr>
    <w:r>
      <w:rPr>
        <w:noProof/>
        <w:lang w:val="en-U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89037843" o:spid="_x0000_s2052" type="#_x0000_t75" style="position:absolute;margin-left:0;margin-top:0;width:6in;height:380.1pt;z-index:-251658240;mso-position-horizontal:center;mso-position-horizontal-relative:margin;mso-position-vertical:center;mso-position-vertical-relative:margin" o:allowincell="f">
          <v:imagedata r:id="rId1" o:title="ARBITRAJE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2477C5"/>
    <w:rsid w:val="0000416F"/>
    <w:rsid w:val="002477C5"/>
    <w:rsid w:val="00492493"/>
    <w:rsid w:val="00606D9C"/>
    <w:rsid w:val="008E345E"/>
    <w:rsid w:val="009230E9"/>
    <w:rsid w:val="009812C1"/>
    <w:rsid w:val="00A53C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."/>
  <w:listSeparator w:val=","/>
  <w14:docId w14:val="06F1186D"/>
  <w15:docId w15:val="{CF87C3DF-577B-4C1B-A4F1-C2DE7AA0A2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es-ES"/>
    </w:rPr>
  </w:style>
  <w:style w:type="paragraph" w:styleId="Ttulo1">
    <w:name w:val="heading 1"/>
    <w:basedOn w:val="Normal"/>
    <w:uiPriority w:val="1"/>
    <w:qFormat/>
    <w:pPr>
      <w:spacing w:before="1"/>
      <w:ind w:left="2" w:right="137"/>
      <w:jc w:val="both"/>
      <w:outlineLvl w:val="0"/>
    </w:pPr>
    <w:rPr>
      <w:b/>
      <w:bCs/>
      <w:sz w:val="48"/>
      <w:szCs w:val="4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i/>
      <w:iCs/>
      <w:sz w:val="23"/>
      <w:szCs w:val="23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492493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92493"/>
    <w:rPr>
      <w:rFonts w:ascii="Times New Roman" w:eastAsia="Times New Roman" w:hAnsi="Times New Roman" w:cs="Times New Roman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492493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92493"/>
    <w:rPr>
      <w:rFonts w:ascii="Times New Roman" w:eastAsia="Times New Roman" w:hAnsi="Times New Roman" w:cs="Times New Roman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455</Words>
  <Characters>2597</Characters>
  <Application>Microsoft Office Word</Application>
  <DocSecurity>0</DocSecurity>
  <Lines>21</Lines>
  <Paragraphs>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1</vt:i4>
      </vt:variant>
    </vt:vector>
  </HeadingPairs>
  <TitlesOfParts>
    <vt:vector size="2" baseType="lpstr">
      <vt:lpstr/>
      <vt:lpstr>CLÁUSULA	MODELO	DE SOMETIMIENTO A JUNTA DE PREVENCIÓN Y RESOLUCIÓN DE DISPUTAS A</vt:lpstr>
    </vt:vector>
  </TitlesOfParts>
  <Company/>
  <LinksUpToDate>false</LinksUpToDate>
  <CharactersWithSpaces>3046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Andrea Tapia</dc:creator>
  <cp:lastModifiedBy>W10</cp:lastModifiedBy>
  <cp:revision>4</cp:revision>
  <dcterms:created xsi:type="dcterms:W3CDTF">2026-07-10T21:42:00Z</dcterms:created>
  <dcterms:modified xsi:type="dcterms:W3CDTF">2026-07-16T17:00:00Z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2025-11-04T00:00:00Z</vt:filetime>
  </property>
  <property fmtid="{D5CDD505-2E9C-101B-9397-08002B2CF9AE}" pid="4" name="Creator">
    <vt:lpwstr>Microsoft® Word 2021</vt:lpwstr>
  </property>
  <property fmtid="{D5CDD505-2E9C-101B-9397-08002B2CF9AE}" pid="5" name="LastSaved">
    <vt:filetime>2026-07-10T00:00:00Z</vt:filetime>
  </property>
  <property fmtid="{D5CDD505-2E9C-101B-9397-08002B2CF9AE}" pid="6" name="Producer">
    <vt:lpwstr>Microsoft® Word 2021</vt:lpwstr>
  </property>
</Properties>
</file>